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EF" w:rsidRPr="00B21580" w:rsidRDefault="00B21580" w:rsidP="00FE4DEF">
      <w:pPr>
        <w:spacing w:before="120" w:after="120"/>
        <w:jc w:val="right"/>
        <w:rPr>
          <w:b/>
        </w:rPr>
      </w:pPr>
      <w:r>
        <w:rPr>
          <w:b/>
        </w:rPr>
        <w:t>Anexa la HCL__________________/2025</w:t>
      </w:r>
      <w:bookmarkStart w:id="0" w:name="_GoBack"/>
      <w:bookmarkEnd w:id="0"/>
    </w:p>
    <w:p w:rsidR="00FE4DEF" w:rsidRPr="00B21580" w:rsidRDefault="00FE4DEF" w:rsidP="00FE4DEF">
      <w:pPr>
        <w:spacing w:before="120" w:after="120"/>
        <w:jc w:val="right"/>
        <w:rPr>
          <w:b/>
        </w:rPr>
      </w:pPr>
      <w:r w:rsidRPr="00B21580">
        <w:rPr>
          <w:b/>
        </w:rPr>
        <w:t>Anexa nr. 8 la Contractul de delegare</w:t>
      </w:r>
    </w:p>
    <w:p w:rsidR="00FE4DEF" w:rsidRPr="00B21580" w:rsidRDefault="00FE4DEF" w:rsidP="00FE4DEF">
      <w:pPr>
        <w:spacing w:line="259" w:lineRule="auto"/>
        <w:jc w:val="center"/>
        <w:rPr>
          <w:rFonts w:eastAsia="Calibri"/>
          <w:b/>
        </w:rPr>
      </w:pPr>
    </w:p>
    <w:p w:rsidR="00FE4DEF" w:rsidRPr="00B21580" w:rsidRDefault="00FE4DEF" w:rsidP="00FE4DEF">
      <w:pPr>
        <w:spacing w:line="259" w:lineRule="auto"/>
        <w:jc w:val="center"/>
        <w:rPr>
          <w:rFonts w:eastAsia="Calibri"/>
          <w:b/>
        </w:rPr>
      </w:pPr>
      <w:r w:rsidRPr="00B21580">
        <w:rPr>
          <w:rFonts w:eastAsia="Calibri"/>
          <w:b/>
        </w:rPr>
        <w:t xml:space="preserve">Tarifele </w:t>
      </w:r>
    </w:p>
    <w:p w:rsidR="00FE4DEF" w:rsidRPr="00B21580" w:rsidRDefault="00FE4DEF" w:rsidP="00FE4DEF">
      <w:pPr>
        <w:spacing w:line="259" w:lineRule="auto"/>
        <w:rPr>
          <w:rFonts w:eastAsia="Calibri"/>
          <w:i/>
        </w:rPr>
      </w:pPr>
    </w:p>
    <w:p w:rsidR="00C31D14" w:rsidRPr="00B21580" w:rsidRDefault="00C31D14" w:rsidP="00C31D14">
      <w:pPr>
        <w:rPr>
          <w:b/>
          <w:u w:val="single"/>
        </w:rPr>
      </w:pPr>
      <w:r w:rsidRPr="00B21580">
        <w:rPr>
          <w:b/>
          <w:u w:val="single"/>
        </w:rPr>
        <w:t>Tarif de colectare separată și transport separat al deșeurilor reziduale, inclusiv a rezidururilor menajere și similare și al altor deșeuri colectate separat decât cele de hârtie, metal, plastic și sticlă– Tcs reziduale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2269"/>
        <w:gridCol w:w="2215"/>
      </w:tblGrid>
      <w:tr w:rsidR="00C31D14" w:rsidRPr="00B21580" w:rsidTr="00CA67A7">
        <w:tc>
          <w:tcPr>
            <w:tcW w:w="4535" w:type="dxa"/>
            <w:shd w:val="clear" w:color="auto" w:fill="auto"/>
          </w:tcPr>
          <w:p w:rsidR="00C31D14" w:rsidRPr="00B21580" w:rsidRDefault="00C31D14" w:rsidP="00CA67A7"/>
        </w:tc>
        <w:tc>
          <w:tcPr>
            <w:tcW w:w="2269" w:type="dxa"/>
            <w:shd w:val="clear" w:color="auto" w:fill="auto"/>
          </w:tcPr>
          <w:p w:rsidR="00C31D14" w:rsidRPr="00B21580" w:rsidRDefault="00C31D14" w:rsidP="00CA67A7">
            <w:pPr>
              <w:jc w:val="right"/>
            </w:pPr>
            <w:r w:rsidRPr="00B21580">
              <w:t>Fără TVA</w:t>
            </w:r>
          </w:p>
        </w:tc>
        <w:tc>
          <w:tcPr>
            <w:tcW w:w="2215" w:type="dxa"/>
            <w:shd w:val="clear" w:color="auto" w:fill="auto"/>
          </w:tcPr>
          <w:p w:rsidR="00C31D14" w:rsidRPr="00B21580" w:rsidRDefault="00C31D14" w:rsidP="00CA67A7">
            <w:pPr>
              <w:jc w:val="right"/>
            </w:pPr>
            <w:r w:rsidRPr="00B21580">
              <w:t>Cu TVA</w:t>
            </w:r>
          </w:p>
        </w:tc>
      </w:tr>
      <w:tr w:rsidR="00C31D14" w:rsidRPr="00B21580" w:rsidTr="00CA67A7">
        <w:tc>
          <w:tcPr>
            <w:tcW w:w="4535" w:type="dxa"/>
            <w:shd w:val="clear" w:color="auto" w:fill="auto"/>
          </w:tcPr>
          <w:p w:rsidR="00C31D14" w:rsidRPr="00B21580" w:rsidRDefault="00C31D14" w:rsidP="00CA67A7">
            <w:r w:rsidRPr="00B21580">
              <w:t>Persoane fizice- urban lei/lună/persoană</w:t>
            </w:r>
          </w:p>
        </w:tc>
        <w:tc>
          <w:tcPr>
            <w:tcW w:w="2269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8,93</w:t>
            </w:r>
          </w:p>
        </w:tc>
        <w:tc>
          <w:tcPr>
            <w:tcW w:w="2215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10,81</w:t>
            </w:r>
          </w:p>
        </w:tc>
      </w:tr>
      <w:tr w:rsidR="00C31D14" w:rsidRPr="00B21580" w:rsidTr="00CA67A7">
        <w:tc>
          <w:tcPr>
            <w:tcW w:w="4535" w:type="dxa"/>
            <w:shd w:val="clear" w:color="auto" w:fill="auto"/>
          </w:tcPr>
          <w:p w:rsidR="00C31D14" w:rsidRPr="00B21580" w:rsidRDefault="00C31D14" w:rsidP="00CA67A7">
            <w:r w:rsidRPr="00B21580">
              <w:t>Persoane fizice-rural lei/lună /persoană</w:t>
            </w:r>
          </w:p>
        </w:tc>
        <w:tc>
          <w:tcPr>
            <w:tcW w:w="2269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5,30</w:t>
            </w:r>
          </w:p>
        </w:tc>
        <w:tc>
          <w:tcPr>
            <w:tcW w:w="2215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6,41</w:t>
            </w:r>
          </w:p>
        </w:tc>
      </w:tr>
      <w:tr w:rsidR="00C31D14" w:rsidRPr="00B21580" w:rsidTr="00CA67A7">
        <w:tc>
          <w:tcPr>
            <w:tcW w:w="4535" w:type="dxa"/>
            <w:shd w:val="clear" w:color="auto" w:fill="auto"/>
          </w:tcPr>
          <w:p w:rsidR="00C31D14" w:rsidRPr="00B21580" w:rsidRDefault="00C31D14" w:rsidP="00CA67A7">
            <w:r w:rsidRPr="00B21580">
              <w:t>Non –casnici lei/mc</w:t>
            </w:r>
          </w:p>
        </w:tc>
        <w:tc>
          <w:tcPr>
            <w:tcW w:w="2269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97,10</w:t>
            </w:r>
          </w:p>
        </w:tc>
        <w:tc>
          <w:tcPr>
            <w:tcW w:w="2215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117,49</w:t>
            </w:r>
          </w:p>
        </w:tc>
      </w:tr>
      <w:tr w:rsidR="00C31D14" w:rsidRPr="00B21580" w:rsidTr="00CA67A7">
        <w:tc>
          <w:tcPr>
            <w:tcW w:w="4535" w:type="dxa"/>
            <w:shd w:val="clear" w:color="auto" w:fill="auto"/>
          </w:tcPr>
          <w:p w:rsidR="00C31D14" w:rsidRPr="00B21580" w:rsidRDefault="00C31D14" w:rsidP="00CA67A7">
            <w:r w:rsidRPr="00B21580">
              <w:t>Tarif lei/tonă</w:t>
            </w:r>
          </w:p>
        </w:tc>
        <w:tc>
          <w:tcPr>
            <w:tcW w:w="2269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567,16</w:t>
            </w:r>
          </w:p>
        </w:tc>
        <w:tc>
          <w:tcPr>
            <w:tcW w:w="2215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686,26</w:t>
            </w:r>
          </w:p>
        </w:tc>
      </w:tr>
    </w:tbl>
    <w:p w:rsidR="00C31D14" w:rsidRPr="00B21580" w:rsidRDefault="00C31D14" w:rsidP="00C31D14">
      <w:pPr>
        <w:rPr>
          <w:b/>
          <w:u w:val="single"/>
        </w:rPr>
      </w:pPr>
    </w:p>
    <w:p w:rsidR="00C31D14" w:rsidRPr="00B21580" w:rsidRDefault="00C31D14" w:rsidP="00C31D14">
      <w:pPr>
        <w:rPr>
          <w:b/>
          <w:u w:val="single"/>
        </w:rPr>
      </w:pPr>
      <w:r w:rsidRPr="00B21580">
        <w:rPr>
          <w:b/>
          <w:u w:val="single"/>
        </w:rPr>
        <w:t xml:space="preserve"> Tarif de colectare separată și transport separat al deșeurilor de hârtie, metal, plastic și sticlă - Tsc reciclabile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76"/>
        <w:gridCol w:w="2221"/>
      </w:tblGrid>
      <w:tr w:rsidR="00C31D14" w:rsidRPr="00B21580" w:rsidTr="00CA67A7">
        <w:tc>
          <w:tcPr>
            <w:tcW w:w="4522" w:type="dxa"/>
            <w:shd w:val="clear" w:color="auto" w:fill="auto"/>
          </w:tcPr>
          <w:p w:rsidR="00C31D14" w:rsidRPr="00B21580" w:rsidRDefault="00C31D14" w:rsidP="00CA67A7"/>
        </w:tc>
        <w:tc>
          <w:tcPr>
            <w:tcW w:w="2276" w:type="dxa"/>
            <w:shd w:val="clear" w:color="auto" w:fill="auto"/>
          </w:tcPr>
          <w:p w:rsidR="00C31D14" w:rsidRPr="00B21580" w:rsidRDefault="00C31D14" w:rsidP="00CA67A7">
            <w:pPr>
              <w:jc w:val="right"/>
            </w:pPr>
            <w:r w:rsidRPr="00B21580">
              <w:t>Fără TVA</w:t>
            </w:r>
          </w:p>
        </w:tc>
        <w:tc>
          <w:tcPr>
            <w:tcW w:w="2221" w:type="dxa"/>
            <w:shd w:val="clear" w:color="auto" w:fill="auto"/>
          </w:tcPr>
          <w:p w:rsidR="00C31D14" w:rsidRPr="00B21580" w:rsidRDefault="00C31D14" w:rsidP="00CA67A7">
            <w:pPr>
              <w:jc w:val="right"/>
            </w:pPr>
            <w:r w:rsidRPr="00B21580">
              <w:t>Cu TVA</w:t>
            </w:r>
          </w:p>
        </w:tc>
      </w:tr>
      <w:tr w:rsidR="00C31D14" w:rsidRPr="00B21580" w:rsidTr="00CA67A7">
        <w:tc>
          <w:tcPr>
            <w:tcW w:w="4522" w:type="dxa"/>
            <w:shd w:val="clear" w:color="auto" w:fill="auto"/>
          </w:tcPr>
          <w:p w:rsidR="00C31D14" w:rsidRPr="00B21580" w:rsidRDefault="00C31D14" w:rsidP="00CA67A7">
            <w:r w:rsidRPr="00B21580">
              <w:t>Persoane fizice- urban lei/lună/persoană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2,75</w:t>
            </w:r>
          </w:p>
        </w:tc>
        <w:tc>
          <w:tcPr>
            <w:tcW w:w="222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3,33</w:t>
            </w:r>
          </w:p>
        </w:tc>
      </w:tr>
      <w:tr w:rsidR="00C31D14" w:rsidRPr="00B21580" w:rsidTr="00CA67A7">
        <w:tc>
          <w:tcPr>
            <w:tcW w:w="4522" w:type="dxa"/>
            <w:shd w:val="clear" w:color="auto" w:fill="auto"/>
          </w:tcPr>
          <w:p w:rsidR="00C31D14" w:rsidRPr="00B21580" w:rsidRDefault="00C31D14" w:rsidP="00CA67A7">
            <w:r w:rsidRPr="00B21580">
              <w:t>Persoane fizice -rural lei/lună /persoană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2,96</w:t>
            </w:r>
          </w:p>
        </w:tc>
        <w:tc>
          <w:tcPr>
            <w:tcW w:w="222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3,58</w:t>
            </w:r>
          </w:p>
        </w:tc>
      </w:tr>
      <w:tr w:rsidR="00C31D14" w:rsidRPr="00B21580" w:rsidTr="00CA67A7">
        <w:tc>
          <w:tcPr>
            <w:tcW w:w="4522" w:type="dxa"/>
            <w:shd w:val="clear" w:color="auto" w:fill="auto"/>
          </w:tcPr>
          <w:p w:rsidR="00C31D14" w:rsidRPr="00B21580" w:rsidRDefault="00C31D14" w:rsidP="00CA67A7">
            <w:r w:rsidRPr="00B21580">
              <w:t>Non –casnici lei/mc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51,67</w:t>
            </w:r>
          </w:p>
        </w:tc>
        <w:tc>
          <w:tcPr>
            <w:tcW w:w="222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62,52</w:t>
            </w:r>
          </w:p>
        </w:tc>
      </w:tr>
      <w:tr w:rsidR="00C31D14" w:rsidRPr="00B21580" w:rsidTr="00CA67A7">
        <w:tc>
          <w:tcPr>
            <w:tcW w:w="4522" w:type="dxa"/>
            <w:shd w:val="clear" w:color="auto" w:fill="auto"/>
          </w:tcPr>
          <w:p w:rsidR="00C31D14" w:rsidRPr="00B21580" w:rsidRDefault="00C31D14" w:rsidP="00CA67A7">
            <w:r w:rsidRPr="00B21580">
              <w:t>Tarif lei/tonă</w:t>
            </w:r>
          </w:p>
        </w:tc>
        <w:tc>
          <w:tcPr>
            <w:tcW w:w="2276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1230,28</w:t>
            </w:r>
          </w:p>
        </w:tc>
        <w:tc>
          <w:tcPr>
            <w:tcW w:w="222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1488,64</w:t>
            </w:r>
          </w:p>
        </w:tc>
      </w:tr>
    </w:tbl>
    <w:p w:rsidR="00C31D14" w:rsidRPr="00B21580" w:rsidRDefault="00C31D14" w:rsidP="00C31D14"/>
    <w:p w:rsidR="00C31D14" w:rsidRPr="00B21580" w:rsidRDefault="00C31D14" w:rsidP="00C31D14">
      <w:pPr>
        <w:rPr>
          <w:b/>
          <w:u w:val="single"/>
        </w:rPr>
      </w:pPr>
      <w:r w:rsidRPr="00B21580">
        <w:rPr>
          <w:b/>
          <w:u w:val="single"/>
        </w:rPr>
        <w:t>Tarif de colectare și transport separat al biodeșeurilor din deșeurile municipale –Tcs biodeșeuri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2261"/>
        <w:gridCol w:w="2208"/>
      </w:tblGrid>
      <w:tr w:rsidR="00C31D14" w:rsidRPr="00B21580" w:rsidTr="00CA67A7">
        <w:tc>
          <w:tcPr>
            <w:tcW w:w="4550" w:type="dxa"/>
            <w:shd w:val="clear" w:color="auto" w:fill="auto"/>
          </w:tcPr>
          <w:p w:rsidR="00C31D14" w:rsidRPr="00B21580" w:rsidRDefault="00C31D14" w:rsidP="00CA67A7">
            <w:pPr>
              <w:jc w:val="right"/>
            </w:pPr>
          </w:p>
        </w:tc>
        <w:tc>
          <w:tcPr>
            <w:tcW w:w="2261" w:type="dxa"/>
            <w:shd w:val="clear" w:color="auto" w:fill="auto"/>
          </w:tcPr>
          <w:p w:rsidR="00C31D14" w:rsidRPr="00B21580" w:rsidRDefault="00C31D14" w:rsidP="00CA67A7">
            <w:pPr>
              <w:jc w:val="right"/>
            </w:pPr>
            <w:r w:rsidRPr="00B21580">
              <w:t>Fără TVA</w:t>
            </w:r>
          </w:p>
        </w:tc>
        <w:tc>
          <w:tcPr>
            <w:tcW w:w="2208" w:type="dxa"/>
            <w:shd w:val="clear" w:color="auto" w:fill="auto"/>
          </w:tcPr>
          <w:p w:rsidR="00C31D14" w:rsidRPr="00B21580" w:rsidRDefault="00C31D14" w:rsidP="00CA67A7">
            <w:pPr>
              <w:jc w:val="right"/>
            </w:pPr>
            <w:r w:rsidRPr="00B21580">
              <w:t>Cu TVA</w:t>
            </w:r>
          </w:p>
        </w:tc>
      </w:tr>
      <w:tr w:rsidR="00C31D14" w:rsidRPr="00B21580" w:rsidTr="00CA67A7">
        <w:tc>
          <w:tcPr>
            <w:tcW w:w="4550" w:type="dxa"/>
            <w:shd w:val="clear" w:color="auto" w:fill="auto"/>
          </w:tcPr>
          <w:p w:rsidR="00C31D14" w:rsidRPr="00B21580" w:rsidRDefault="00C31D14" w:rsidP="00CA67A7">
            <w:r w:rsidRPr="00B21580">
              <w:t>Persoane fizice -urban lei/lună/persoană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2,03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2,46</w:t>
            </w:r>
          </w:p>
        </w:tc>
      </w:tr>
      <w:tr w:rsidR="00C31D14" w:rsidRPr="00B21580" w:rsidTr="00CA67A7">
        <w:tc>
          <w:tcPr>
            <w:tcW w:w="4550" w:type="dxa"/>
            <w:shd w:val="clear" w:color="auto" w:fill="auto"/>
          </w:tcPr>
          <w:p w:rsidR="00C31D14" w:rsidRPr="00B21580" w:rsidRDefault="00C31D14" w:rsidP="00CA67A7">
            <w:r w:rsidRPr="00B21580">
              <w:t>Persoane fizice- rural lei/lună/persoană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0,00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0,00</w:t>
            </w:r>
          </w:p>
        </w:tc>
      </w:tr>
      <w:tr w:rsidR="00C31D14" w:rsidRPr="00B21580" w:rsidTr="00CA67A7">
        <w:tc>
          <w:tcPr>
            <w:tcW w:w="4550" w:type="dxa"/>
            <w:shd w:val="clear" w:color="auto" w:fill="auto"/>
          </w:tcPr>
          <w:p w:rsidR="00C31D14" w:rsidRPr="00B21580" w:rsidRDefault="00C31D14" w:rsidP="00CA67A7">
            <w:r w:rsidRPr="00B21580">
              <w:t>Non –casnici lei/mc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38,32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46,37</w:t>
            </w:r>
          </w:p>
        </w:tc>
      </w:tr>
      <w:tr w:rsidR="00C31D14" w:rsidRPr="00B21580" w:rsidTr="00CA67A7">
        <w:tc>
          <w:tcPr>
            <w:tcW w:w="4550" w:type="dxa"/>
            <w:shd w:val="clear" w:color="auto" w:fill="auto"/>
          </w:tcPr>
          <w:p w:rsidR="00C31D14" w:rsidRPr="00B21580" w:rsidRDefault="00C31D14" w:rsidP="00CA67A7">
            <w:r w:rsidRPr="00B21580">
              <w:t>Tarif lei/tonă</w:t>
            </w:r>
          </w:p>
        </w:tc>
        <w:tc>
          <w:tcPr>
            <w:tcW w:w="2261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336,63</w:t>
            </w:r>
          </w:p>
        </w:tc>
        <w:tc>
          <w:tcPr>
            <w:tcW w:w="2208" w:type="dxa"/>
            <w:shd w:val="clear" w:color="auto" w:fill="auto"/>
            <w:vAlign w:val="bottom"/>
          </w:tcPr>
          <w:p w:rsidR="00C31D14" w:rsidRPr="00B21580" w:rsidRDefault="00C31D14" w:rsidP="00CA67A7">
            <w:pPr>
              <w:jc w:val="right"/>
            </w:pPr>
            <w:r w:rsidRPr="00B21580">
              <w:rPr>
                <w:color w:val="000000"/>
              </w:rPr>
              <w:t>407,32</w:t>
            </w:r>
          </w:p>
        </w:tc>
      </w:tr>
    </w:tbl>
    <w:p w:rsidR="00FE4DEF" w:rsidRPr="00B21580" w:rsidRDefault="00FE4DEF" w:rsidP="00FE4DEF">
      <w:pPr>
        <w:jc w:val="both"/>
      </w:pPr>
    </w:p>
    <w:p w:rsidR="00FE4DEF" w:rsidRPr="00B21580" w:rsidRDefault="00FE4DEF" w:rsidP="00FE4DEF">
      <w:pPr>
        <w:spacing w:line="240" w:lineRule="atLeast"/>
        <w:jc w:val="both"/>
        <w:rPr>
          <w:b/>
          <w:u w:val="single"/>
        </w:rPr>
      </w:pPr>
      <w:r w:rsidRPr="00B21580">
        <w:rPr>
          <w:b/>
          <w:u w:val="single"/>
        </w:rPr>
        <w:t>Tarifele pentru serviciile conexe serviciului de salubrizare cu grad redus de repetabilitate și care se desfășoară ocazional</w:t>
      </w:r>
    </w:p>
    <w:p w:rsidR="00FE4DEF" w:rsidRPr="00B21580" w:rsidRDefault="00FE4DEF" w:rsidP="00FE4DEF">
      <w:pPr>
        <w:spacing w:line="240" w:lineRule="atLeast"/>
        <w:jc w:val="both"/>
      </w:pPr>
    </w:p>
    <w:p w:rsidR="00FE4DEF" w:rsidRPr="00B21580" w:rsidRDefault="00FE4DEF" w:rsidP="00FE4DEF">
      <w:pPr>
        <w:spacing w:line="240" w:lineRule="atLeast"/>
        <w:jc w:val="both"/>
        <w:rPr>
          <w:b/>
          <w:u w:val="single"/>
        </w:rPr>
      </w:pPr>
      <w:r w:rsidRPr="00B21580">
        <w:t xml:space="preserve"> Tarif pentru gestionarea deşeurilor voluminoase, inclusiv saltele și mobilă </w:t>
      </w:r>
    </w:p>
    <w:tbl>
      <w:tblPr>
        <w:tblW w:w="8652" w:type="dxa"/>
        <w:tblInd w:w="113" w:type="dxa"/>
        <w:tblLook w:val="04A0" w:firstRow="1" w:lastRow="0" w:firstColumn="1" w:lastColumn="0" w:noHBand="0" w:noVBand="1"/>
      </w:tblPr>
      <w:tblGrid>
        <w:gridCol w:w="5282"/>
        <w:gridCol w:w="1750"/>
        <w:gridCol w:w="1620"/>
      </w:tblGrid>
      <w:tr w:rsidR="00FE4DEF" w:rsidRPr="00B21580" w:rsidTr="003D438B">
        <w:trPr>
          <w:trHeight w:val="300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r w:rsidRPr="00B21580"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DEF" w:rsidRPr="00B21580" w:rsidRDefault="00FE4DEF" w:rsidP="003D438B">
            <w:pPr>
              <w:jc w:val="right"/>
            </w:pPr>
            <w:r w:rsidRPr="00B21580">
              <w:t>Fără TVA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DEF" w:rsidRPr="00B21580" w:rsidRDefault="00FE4DEF" w:rsidP="003D438B">
            <w:pPr>
              <w:jc w:val="right"/>
            </w:pPr>
            <w:r w:rsidRPr="00B21580">
              <w:t>Cu TVA</w:t>
            </w:r>
          </w:p>
        </w:tc>
      </w:tr>
      <w:tr w:rsidR="00FE4DEF" w:rsidRPr="00B21580" w:rsidTr="003D438B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r w:rsidRPr="00B21580">
              <w:t>Tarif lei/to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DEF" w:rsidRPr="00B21580" w:rsidRDefault="00FE4DEF" w:rsidP="003D438B">
            <w:pPr>
              <w:jc w:val="right"/>
            </w:pPr>
            <w:r w:rsidRPr="00B21580">
              <w:t>599,78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DEF" w:rsidRPr="00B21580" w:rsidRDefault="00FE4DEF" w:rsidP="003D438B">
            <w:pPr>
              <w:jc w:val="right"/>
            </w:pPr>
            <w:r w:rsidRPr="00B21580">
              <w:t>713,74</w:t>
            </w:r>
          </w:p>
        </w:tc>
      </w:tr>
      <w:tr w:rsidR="00FE4DEF" w:rsidRPr="00B21580" w:rsidTr="003D438B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r w:rsidRPr="00B21580">
              <w:t>Tarif lei/mc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DEF" w:rsidRPr="00B21580" w:rsidRDefault="00FE4DEF" w:rsidP="003D438B">
            <w:pPr>
              <w:jc w:val="right"/>
            </w:pPr>
            <w:r w:rsidRPr="00B21580">
              <w:t>149,95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DEF" w:rsidRPr="00B21580" w:rsidRDefault="00FE4DEF" w:rsidP="003D438B">
            <w:pPr>
              <w:jc w:val="right"/>
            </w:pPr>
            <w:r w:rsidRPr="00B21580">
              <w:t>178,43</w:t>
            </w:r>
          </w:p>
        </w:tc>
      </w:tr>
    </w:tbl>
    <w:p w:rsidR="00FE4DEF" w:rsidRPr="00B21580" w:rsidRDefault="00FE4DEF" w:rsidP="00FE4DEF">
      <w:pPr>
        <w:spacing w:line="259" w:lineRule="auto"/>
        <w:rPr>
          <w:rFonts w:eastAsia="Calibri"/>
          <w:i/>
        </w:rPr>
      </w:pPr>
    </w:p>
    <w:p w:rsidR="00FE4DEF" w:rsidRPr="00B21580" w:rsidRDefault="00FE4DEF" w:rsidP="00FE4DEF">
      <w:pPr>
        <w:spacing w:line="259" w:lineRule="auto"/>
        <w:rPr>
          <w:rFonts w:eastAsia="Calibri"/>
          <w:i/>
        </w:rPr>
      </w:pPr>
    </w:p>
    <w:p w:rsidR="00FE4DEF" w:rsidRPr="00B21580" w:rsidRDefault="00FE4DEF" w:rsidP="00FE4DEF">
      <w:pPr>
        <w:spacing w:line="259" w:lineRule="auto"/>
        <w:rPr>
          <w:rFonts w:eastAsia="Calibri"/>
          <w:i/>
        </w:rPr>
      </w:pPr>
    </w:p>
    <w:p w:rsidR="00FE4DEF" w:rsidRPr="00B21580" w:rsidRDefault="00FE4DEF" w:rsidP="00FE4DEF">
      <w:pPr>
        <w:spacing w:line="240" w:lineRule="atLeast"/>
        <w:jc w:val="both"/>
        <w:rPr>
          <w:b/>
          <w:u w:val="single"/>
        </w:rPr>
      </w:pPr>
      <w:r w:rsidRPr="00B21580">
        <w:t xml:space="preserve">Tarif pentru gestionarea deșeurilor provenite din locuințe, generate de activități de reamenajare și reabilitare interioară și/sau exterioară a acestora </w:t>
      </w:r>
    </w:p>
    <w:tbl>
      <w:tblPr>
        <w:tblW w:w="8652" w:type="dxa"/>
        <w:tblInd w:w="113" w:type="dxa"/>
        <w:tblLook w:val="04A0" w:firstRow="1" w:lastRow="0" w:firstColumn="1" w:lastColumn="0" w:noHBand="0" w:noVBand="1"/>
      </w:tblPr>
      <w:tblGrid>
        <w:gridCol w:w="5282"/>
        <w:gridCol w:w="1750"/>
        <w:gridCol w:w="1620"/>
      </w:tblGrid>
      <w:tr w:rsidR="00FE4DEF" w:rsidRPr="00B21580" w:rsidTr="003D438B">
        <w:trPr>
          <w:trHeight w:val="300"/>
        </w:trPr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r w:rsidRPr="00B21580">
              <w:t> </w:t>
            </w:r>
          </w:p>
        </w:tc>
        <w:tc>
          <w:tcPr>
            <w:tcW w:w="17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E4DEF" w:rsidRPr="00B21580" w:rsidRDefault="00FE4DEF" w:rsidP="003D438B">
            <w:pPr>
              <w:jc w:val="right"/>
            </w:pPr>
            <w:r w:rsidRPr="00B21580">
              <w:t>Fără TVA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E4DEF" w:rsidRPr="00B21580" w:rsidRDefault="00FE4DEF" w:rsidP="003D438B">
            <w:pPr>
              <w:jc w:val="right"/>
            </w:pPr>
            <w:r w:rsidRPr="00B21580">
              <w:t>Cu TVA</w:t>
            </w:r>
          </w:p>
        </w:tc>
      </w:tr>
      <w:tr w:rsidR="00FE4DEF" w:rsidRPr="00B21580" w:rsidTr="003D438B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r w:rsidRPr="00B21580">
              <w:t>Tarif lei/to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pPr>
              <w:jc w:val="right"/>
            </w:pPr>
            <w:r w:rsidRPr="00B21580">
              <w:t>64,62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DEF" w:rsidRPr="00B21580" w:rsidRDefault="00FE4DEF" w:rsidP="003D438B">
            <w:pPr>
              <w:jc w:val="right"/>
            </w:pPr>
            <w:r w:rsidRPr="00B21580">
              <w:t>76,89</w:t>
            </w:r>
          </w:p>
        </w:tc>
      </w:tr>
      <w:tr w:rsidR="00FE4DEF" w:rsidRPr="00B21580" w:rsidTr="003D438B">
        <w:trPr>
          <w:trHeight w:val="300"/>
        </w:trPr>
        <w:tc>
          <w:tcPr>
            <w:tcW w:w="5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r w:rsidRPr="00B21580">
              <w:t>Tarif lei/mc</w:t>
            </w:r>
          </w:p>
        </w:tc>
        <w:tc>
          <w:tcPr>
            <w:tcW w:w="1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4DEF" w:rsidRPr="00B21580" w:rsidRDefault="00FE4DEF" w:rsidP="003D438B">
            <w:pPr>
              <w:jc w:val="right"/>
            </w:pPr>
            <w:r w:rsidRPr="00B21580">
              <w:t>84,03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DEF" w:rsidRPr="00B21580" w:rsidRDefault="00FE4DEF" w:rsidP="003D438B">
            <w:pPr>
              <w:jc w:val="right"/>
            </w:pPr>
            <w:r w:rsidRPr="00B21580">
              <w:t>100,00</w:t>
            </w:r>
          </w:p>
        </w:tc>
      </w:tr>
    </w:tbl>
    <w:p w:rsidR="00FE4DEF" w:rsidRPr="00B21580" w:rsidRDefault="00FE4DEF" w:rsidP="00FE4DEF">
      <w:pPr>
        <w:spacing w:line="259" w:lineRule="auto"/>
        <w:rPr>
          <w:rFonts w:eastAsia="Calibri"/>
          <w:i/>
        </w:rPr>
      </w:pPr>
    </w:p>
    <w:p w:rsidR="00FE4DEF" w:rsidRPr="00B21580" w:rsidRDefault="00FE4DEF" w:rsidP="00FE4DEF">
      <w:pPr>
        <w:numPr>
          <w:ilvl w:val="0"/>
          <w:numId w:val="1"/>
        </w:numPr>
        <w:suppressAutoHyphens w:val="0"/>
        <w:spacing w:line="259" w:lineRule="auto"/>
        <w:contextualSpacing/>
        <w:rPr>
          <w:rFonts w:eastAsia="Calibri"/>
        </w:rPr>
      </w:pPr>
      <w:r w:rsidRPr="00B21580">
        <w:rPr>
          <w:rFonts w:eastAsia="Calibri"/>
        </w:rPr>
        <w:lastRenderedPageBreak/>
        <w:t>Pentru gestionarea deșeurilor abandonate, respectiv pentru cele provenite de la evenimentele publice se aplică tarifele de mai sus, în funcție de tipul de deșeu.</w:t>
      </w:r>
    </w:p>
    <w:p w:rsidR="00FE4DEF" w:rsidRPr="00B21580" w:rsidRDefault="00FE4DEF" w:rsidP="00FE4DEF">
      <w:pPr>
        <w:numPr>
          <w:ilvl w:val="0"/>
          <w:numId w:val="1"/>
        </w:numPr>
        <w:suppressAutoHyphens w:val="0"/>
        <w:spacing w:line="259" w:lineRule="auto"/>
        <w:contextualSpacing/>
        <w:jc w:val="both"/>
        <w:rPr>
          <w:rFonts w:eastAsia="Calibri"/>
        </w:rPr>
      </w:pPr>
      <w:r w:rsidRPr="00B21580">
        <w:rPr>
          <w:rFonts w:eastAsia="Calibri"/>
        </w:rPr>
        <w:t>Pentru implementarea instrumentului economic ”plătești cât arunci” în cazul generării unui volum mai mare de deșeuri reziduale, se aplică utilizatorilor două metode:</w:t>
      </w:r>
    </w:p>
    <w:p w:rsidR="00FE4DEF" w:rsidRPr="00B21580" w:rsidRDefault="00FE4DEF" w:rsidP="00FE4DEF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rFonts w:eastAsia="Calibri"/>
        </w:rPr>
      </w:pPr>
      <w:r w:rsidRPr="00B21580">
        <w:rPr>
          <w:rFonts w:eastAsia="Calibri"/>
        </w:rPr>
        <w:t>plata suplimentară prin preplată a contravalorii serviciilor prestate, prin achiziționarea sacilor de colectare personalizați, de 120 litri în valoare de 14,11 lei/sac cu TVA;</w:t>
      </w:r>
    </w:p>
    <w:p w:rsidR="00FE4DEF" w:rsidRPr="00B21580" w:rsidRDefault="00FE4DEF" w:rsidP="00FE4DEF">
      <w:pPr>
        <w:numPr>
          <w:ilvl w:val="0"/>
          <w:numId w:val="2"/>
        </w:numPr>
        <w:suppressAutoHyphens w:val="0"/>
        <w:spacing w:line="259" w:lineRule="auto"/>
        <w:contextualSpacing/>
        <w:jc w:val="both"/>
        <w:rPr>
          <w:rFonts w:eastAsia="Calibri"/>
        </w:rPr>
      </w:pPr>
      <w:r w:rsidRPr="00B21580">
        <w:rPr>
          <w:rFonts w:eastAsia="Calibri"/>
        </w:rPr>
        <w:t>plata frecvenței suplimentară a contravalorii serviciilor prestate, de 14,11 lei/ocazie/persoană cu TVA.</w:t>
      </w:r>
    </w:p>
    <w:p w:rsidR="00FE4DEF" w:rsidRPr="00B21580" w:rsidRDefault="00FE4DEF" w:rsidP="00FE4DEF">
      <w:pPr>
        <w:spacing w:line="259" w:lineRule="auto"/>
        <w:ind w:left="1140"/>
        <w:contextualSpacing/>
        <w:jc w:val="both"/>
        <w:rPr>
          <w:rFonts w:eastAsia="Calibri"/>
        </w:rPr>
      </w:pPr>
    </w:p>
    <w:p w:rsidR="00FE4DEF" w:rsidRPr="00B21580" w:rsidRDefault="00FE4DEF" w:rsidP="00FE4DEF">
      <w:pPr>
        <w:rPr>
          <w:color w:val="FF0000"/>
          <w:lang w:val="ro-RO"/>
        </w:rPr>
      </w:pPr>
    </w:p>
    <w:p w:rsidR="00FE4DEF" w:rsidRPr="00B21580" w:rsidRDefault="00FE4DEF" w:rsidP="00FE4DEF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</w:rPr>
      </w:pPr>
      <w:r w:rsidRPr="00B21580">
        <w:rPr>
          <w:rFonts w:eastAsia="Calibri"/>
        </w:rPr>
        <w:t>Pentru utilizatorii casnici, Tariful pentru separarea incorectă a fracțiilor de deşeuri municipale este de 2 ori mai mare decât valoarea rezultată din însumarea tarifelor distincte pentru activitățile de gestionarea a fracțiunilor de deșeuri municipale desfășurate de operatori, exprimat în lei/persoană/lună, în modalitatea de plată prin tarif.</w:t>
      </w:r>
    </w:p>
    <w:p w:rsidR="00FE4DEF" w:rsidRPr="00B21580" w:rsidRDefault="00FE4DEF" w:rsidP="00FE4DEF">
      <w:pPr>
        <w:numPr>
          <w:ilvl w:val="0"/>
          <w:numId w:val="3"/>
        </w:numPr>
        <w:suppressAutoHyphens w:val="0"/>
        <w:spacing w:after="200" w:line="276" w:lineRule="auto"/>
        <w:contextualSpacing/>
        <w:jc w:val="both"/>
        <w:rPr>
          <w:rFonts w:eastAsia="Calibri"/>
        </w:rPr>
      </w:pPr>
      <w:r w:rsidRPr="00B21580">
        <w:rPr>
          <w:rFonts w:eastAsia="Calibri"/>
        </w:rPr>
        <w:t xml:space="preserve"> Pentru utilizatorii non-casnici, Tariful pentru separarea incorectă a fracțiilor de deşeuri municipale este de 1,35 ori mai mare decât valoarea rezultată din însumarea tarifelor distincte pentru activitățile de gestionarea a fracțiunilor de deșeuri municipale desfășurate de operatori, exprimat în lei/mc sau lei/tonă, în modalitatea de plată prin tarif.</w:t>
      </w:r>
    </w:p>
    <w:p w:rsidR="00FE4DEF" w:rsidRPr="00B21580" w:rsidRDefault="00FE4DEF" w:rsidP="00FE4DEF">
      <w:pPr>
        <w:suppressAutoHyphens w:val="0"/>
        <w:spacing w:after="200" w:line="276" w:lineRule="auto"/>
        <w:ind w:left="720"/>
        <w:contextualSpacing/>
        <w:jc w:val="both"/>
        <w:rPr>
          <w:rFonts w:eastAsia="Calibri"/>
          <w:color w:val="FF0000"/>
        </w:rPr>
      </w:pPr>
    </w:p>
    <w:p w:rsidR="008E3A29" w:rsidRPr="00B21580" w:rsidRDefault="008E3A29"/>
    <w:sectPr w:rsidR="008E3A29" w:rsidRPr="00B21580" w:rsidSect="000D2354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2F68"/>
    <w:multiLevelType w:val="hybridMultilevel"/>
    <w:tmpl w:val="F9828B6A"/>
    <w:lvl w:ilvl="0" w:tplc="C590AB66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 w15:restartNumberingAfterBreak="0">
    <w:nsid w:val="1D7001D5"/>
    <w:multiLevelType w:val="hybridMultilevel"/>
    <w:tmpl w:val="05029DDC"/>
    <w:lvl w:ilvl="0" w:tplc="F46A4EC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0D17C5"/>
    <w:multiLevelType w:val="hybridMultilevel"/>
    <w:tmpl w:val="C598F420"/>
    <w:lvl w:ilvl="0" w:tplc="F46A4ECE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EF"/>
    <w:rsid w:val="005509F6"/>
    <w:rsid w:val="008E3A29"/>
    <w:rsid w:val="008F2602"/>
    <w:rsid w:val="00AC59D6"/>
    <w:rsid w:val="00B21580"/>
    <w:rsid w:val="00C31D14"/>
    <w:rsid w:val="00E72567"/>
    <w:rsid w:val="00EE31E4"/>
    <w:rsid w:val="00FE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C4595"/>
  <w15:chartTrackingRefBased/>
  <w15:docId w15:val="{2E5FAFFA-13EC-4C6A-83C1-48221142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4D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427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Ildiko</cp:lastModifiedBy>
  <cp:revision>5</cp:revision>
  <dcterms:created xsi:type="dcterms:W3CDTF">2025-08-05T08:53:00Z</dcterms:created>
  <dcterms:modified xsi:type="dcterms:W3CDTF">2025-08-21T08:47:00Z</dcterms:modified>
</cp:coreProperties>
</file>